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289CAD96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3830B8">
        <w:t>3</w:t>
      </w:r>
      <w:r w:rsidR="001F57BA">
        <w:t>.</w:t>
      </w:r>
      <w:r w:rsidR="00E32178">
        <w:t>0</w:t>
      </w:r>
      <w:r w:rsidR="003830B8">
        <w:t>1</w:t>
      </w:r>
      <w:r w:rsidR="001F57BA">
        <w:t>.202</w:t>
      </w:r>
      <w:r w:rsidR="003830B8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  <w:bookmarkStart w:id="0" w:name="_GoBack"/>
      <w:bookmarkEnd w:id="0"/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66729145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położniczo-ginekologiczn</w:t>
      </w:r>
      <w:r w:rsidR="00814EC4">
        <w:rPr>
          <w:sz w:val="24"/>
          <w:szCs w:val="24"/>
        </w:rPr>
        <w:t xml:space="preserve">ym oraz poradni położniczo- ginekologicznej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Pr="0034636D">
        <w:rPr>
          <w:sz w:val="24"/>
          <w:szCs w:val="24"/>
        </w:rPr>
        <w:t xml:space="preserve">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</w:t>
      </w:r>
      <w:r w:rsidR="003830B8">
        <w:rPr>
          <w:sz w:val="24"/>
          <w:szCs w:val="24"/>
        </w:rPr>
        <w:t>3</w:t>
      </w:r>
      <w:r w:rsidRPr="0034636D">
        <w:rPr>
          <w:sz w:val="24"/>
          <w:szCs w:val="24"/>
        </w:rPr>
        <w:t>.0</w:t>
      </w:r>
      <w:r w:rsidR="003830B8">
        <w:rPr>
          <w:sz w:val="24"/>
          <w:szCs w:val="24"/>
        </w:rPr>
        <w:t>2</w:t>
      </w:r>
      <w:r w:rsidRPr="0034636D">
        <w:rPr>
          <w:sz w:val="24"/>
          <w:szCs w:val="24"/>
        </w:rPr>
        <w:t>.202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roku do 31.</w:t>
      </w:r>
      <w:r w:rsidR="003830B8">
        <w:rPr>
          <w:sz w:val="24"/>
          <w:szCs w:val="24"/>
        </w:rPr>
        <w:t>12</w:t>
      </w:r>
      <w:r w:rsidRPr="0034636D">
        <w:rPr>
          <w:sz w:val="24"/>
          <w:szCs w:val="24"/>
        </w:rPr>
        <w:t>.202</w:t>
      </w:r>
      <w:r w:rsidR="003F008A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39728E71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 których mowa 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7EF70B51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</w:p>
    <w:p w14:paraId="7182981B" w14:textId="583CC6AD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specjalizacji</w:t>
      </w:r>
      <w:r w:rsidR="00E0120A">
        <w:rPr>
          <w:sz w:val="24"/>
          <w:szCs w:val="24"/>
        </w:rPr>
        <w:t xml:space="preserve"> w dziedzinie ginekologii i położnictwa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543BF907" w:rsidR="00BE3F2A" w:rsidRDefault="00BE3F2A" w:rsidP="004518C9"/>
    <w:p w14:paraId="1BCD7024" w14:textId="77777777" w:rsidR="003830B8" w:rsidRDefault="003830B8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4D1C4EB6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CD344E" w:rsidRPr="00CD344E">
        <w:rPr>
          <w:b/>
          <w:bCs/>
          <w:sz w:val="24"/>
          <w:szCs w:val="24"/>
        </w:rPr>
        <w:t>1</w:t>
      </w:r>
      <w:r w:rsidR="003830B8">
        <w:rPr>
          <w:b/>
          <w:bCs/>
          <w:sz w:val="24"/>
          <w:szCs w:val="24"/>
        </w:rPr>
        <w:t>5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3830B8">
        <w:rPr>
          <w:b/>
          <w:bCs/>
          <w:sz w:val="24"/>
          <w:szCs w:val="24"/>
        </w:rPr>
        <w:t>1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3830B8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3830B8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52046D44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położniczo-ginekologiczn</w:t>
      </w:r>
      <w:r w:rsidR="00814EC4">
        <w:rPr>
          <w:sz w:val="24"/>
          <w:szCs w:val="24"/>
        </w:rPr>
        <w:t>ym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złożoną przed upływem terminu składania ofertę.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69748AF5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7317EE">
        <w:rPr>
          <w:sz w:val="24"/>
          <w:szCs w:val="24"/>
        </w:rPr>
        <w:t>16</w:t>
      </w:r>
      <w:r w:rsidRPr="0034636D">
        <w:rPr>
          <w:sz w:val="24"/>
          <w:szCs w:val="24"/>
        </w:rPr>
        <w:t>.</w:t>
      </w:r>
      <w:r w:rsidR="003830B8">
        <w:rPr>
          <w:sz w:val="24"/>
          <w:szCs w:val="24"/>
        </w:rPr>
        <w:t>01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3830B8">
        <w:rPr>
          <w:sz w:val="24"/>
          <w:szCs w:val="24"/>
        </w:rPr>
        <w:t>0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55F822E3" w14:textId="1E437DB8" w:rsidR="00F225D1" w:rsidRPr="003830B8" w:rsidRDefault="0034636D" w:rsidP="00F225D1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1E3AC0B5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4EFF9075" w14:textId="3D55B4E4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1C09673F" w14:textId="2FCA9C40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0AD91E37" w14:textId="77777777" w:rsidR="003830B8" w:rsidRPr="0034636D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lastRenderedPageBreak/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dyspozycyjność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406DF3DF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350D03">
        <w:rPr>
          <w:bCs/>
          <w:sz w:val="24"/>
          <w:szCs w:val="24"/>
        </w:rPr>
        <w:t>3</w:t>
      </w:r>
      <w:r w:rsidRPr="0034636D">
        <w:rPr>
          <w:bCs/>
          <w:sz w:val="24"/>
          <w:szCs w:val="24"/>
        </w:rPr>
        <w:t xml:space="preserve"> </w:t>
      </w:r>
      <w:r w:rsidR="00350D03">
        <w:rPr>
          <w:bCs/>
          <w:sz w:val="24"/>
          <w:szCs w:val="24"/>
        </w:rPr>
        <w:t>lutego</w:t>
      </w:r>
      <w:r w:rsidRPr="0034636D">
        <w:rPr>
          <w:bCs/>
          <w:sz w:val="24"/>
          <w:szCs w:val="24"/>
        </w:rPr>
        <w:t xml:space="preserve"> 202</w:t>
      </w:r>
      <w:r w:rsidR="00350D0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do 31 </w:t>
      </w:r>
      <w:r w:rsidR="00350D03">
        <w:rPr>
          <w:bCs/>
          <w:sz w:val="24"/>
          <w:szCs w:val="24"/>
        </w:rPr>
        <w:t>grudnia</w:t>
      </w:r>
      <w:r w:rsidRPr="0034636D">
        <w:rPr>
          <w:bCs/>
          <w:sz w:val="24"/>
          <w:szCs w:val="24"/>
        </w:rPr>
        <w:t xml:space="preserve"> 202</w:t>
      </w:r>
      <w:r w:rsidR="0079034E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10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50369337" w14:textId="3FE168A4" w:rsidR="002178F4" w:rsidRDefault="002178F4">
      <w:pPr>
        <w:pStyle w:val="Tekstpodstawowy"/>
        <w:rPr>
          <w:sz w:val="24"/>
        </w:rPr>
      </w:pPr>
    </w:p>
    <w:p w14:paraId="45783E69" w14:textId="77777777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4796" w14:textId="77777777" w:rsidR="003727EE" w:rsidRDefault="003727EE" w:rsidP="00E3690D">
      <w:r>
        <w:separator/>
      </w:r>
    </w:p>
  </w:endnote>
  <w:endnote w:type="continuationSeparator" w:id="0">
    <w:p w14:paraId="712B6399" w14:textId="77777777" w:rsidR="003727EE" w:rsidRDefault="003727EE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7276B" w14:textId="77777777" w:rsidR="003727EE" w:rsidRDefault="003727EE" w:rsidP="00E3690D">
      <w:r>
        <w:separator/>
      </w:r>
    </w:p>
  </w:footnote>
  <w:footnote w:type="continuationSeparator" w:id="0">
    <w:p w14:paraId="3868D4DF" w14:textId="77777777" w:rsidR="003727EE" w:rsidRDefault="003727EE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960"/>
    <w:rsid w:val="00012279"/>
    <w:rsid w:val="0002010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310CD3"/>
    <w:rsid w:val="0034636D"/>
    <w:rsid w:val="00350D03"/>
    <w:rsid w:val="003727EE"/>
    <w:rsid w:val="00374CB3"/>
    <w:rsid w:val="00376155"/>
    <w:rsid w:val="003830B8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82B0D"/>
    <w:rsid w:val="00585238"/>
    <w:rsid w:val="005B0961"/>
    <w:rsid w:val="005C7919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2727"/>
    <w:rsid w:val="007862CE"/>
    <w:rsid w:val="0079034E"/>
    <w:rsid w:val="0079652D"/>
    <w:rsid w:val="007C3ADC"/>
    <w:rsid w:val="007D7B1B"/>
    <w:rsid w:val="007E3D68"/>
    <w:rsid w:val="00814EC4"/>
    <w:rsid w:val="00845C08"/>
    <w:rsid w:val="008612F0"/>
    <w:rsid w:val="008F4EFC"/>
    <w:rsid w:val="008F79F2"/>
    <w:rsid w:val="00902605"/>
    <w:rsid w:val="009537E6"/>
    <w:rsid w:val="00954DC3"/>
    <w:rsid w:val="00973775"/>
    <w:rsid w:val="00997407"/>
    <w:rsid w:val="009B65D0"/>
    <w:rsid w:val="009E4F21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A61E0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Maciejewska</dc:creator>
  <cp:lastModifiedBy>Gosia</cp:lastModifiedBy>
  <cp:revision>2</cp:revision>
  <cp:lastPrinted>2022-10-13T10:11:00Z</cp:lastPrinted>
  <dcterms:created xsi:type="dcterms:W3CDTF">2024-01-04T08:47:00Z</dcterms:created>
  <dcterms:modified xsi:type="dcterms:W3CDTF">2024-01-04T08:47:00Z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